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bookmarkStart w:id="3" w:name="_GoBack"/>
      <w:r>
        <w:rPr>
          <w:rFonts w:hint="eastAsia"/>
          <w:b/>
          <w:bCs/>
          <w:sz w:val="24"/>
          <w:szCs w:val="24"/>
        </w:rPr>
        <w:t>S6-252444</w:t>
      </w:r>
      <w:bookmarkEnd w:id="3"/>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 xml:space="preserve">(revision of </w:t>
      </w:r>
      <w:r>
        <w:rPr>
          <w:rFonts w:hint="eastAsia"/>
          <w:b/>
          <w:sz w:val="24"/>
        </w:rPr>
        <w:t>S6-252209</w:t>
      </w:r>
      <w:r>
        <w:rPr>
          <w:b/>
          <w:sz w:val="24"/>
        </w:rPr>
        <w:t>)</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28</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1</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8.11.2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47DC30B9">
            <w:pPr>
              <w:pStyle w:val="82"/>
              <w:spacing w:after="0"/>
              <w:ind w:left="100"/>
              <w:rPr>
                <w:rFonts w:hint="default" w:eastAsia="宋体"/>
                <w:highlight w:val="none"/>
                <w:lang w:val="en-US" w:eastAsia="zh-CN"/>
              </w:rPr>
            </w:pPr>
            <w:r>
              <w:rPr>
                <w:rFonts w:hint="eastAsia" w:eastAsia="宋体"/>
                <w:highlight w:val="none"/>
                <w:lang w:val="en-US" w:eastAsia="zh-CN"/>
              </w:rPr>
              <w:t>There are two ENs in clause 8.11.2.</w:t>
            </w:r>
          </w:p>
          <w:p w14:paraId="7E901833">
            <w:pPr>
              <w:pStyle w:val="75"/>
            </w:pPr>
            <w:r>
              <w:t>Editor's note 1: The security parameters to include in the message between UE-2</w:t>
            </w:r>
            <w:r>
              <w:rPr>
                <w:lang w:eastAsia="zh-CN"/>
              </w:rPr>
              <w:t xml:space="preserve"> </w:t>
            </w:r>
            <w:r>
              <w:t>and MSGin5G UE-1 are FFS.</w:t>
            </w:r>
          </w:p>
          <w:p w14:paraId="4D79E128">
            <w:pPr>
              <w:pStyle w:val="82"/>
              <w:spacing w:after="0"/>
              <w:ind w:left="100"/>
              <w:rPr>
                <w:rFonts w:hint="default" w:eastAsia="宋体"/>
                <w:highlight w:val="none"/>
                <w:lang w:val="en-US" w:eastAsia="zh-CN"/>
              </w:rPr>
            </w:pPr>
            <w:r>
              <w:rPr>
                <w:rFonts w:hint="eastAsia" w:eastAsia="宋体"/>
                <w:lang w:val="en-US" w:eastAsia="zh-CN"/>
              </w:rPr>
              <w:t xml:space="preserve">The </w:t>
            </w:r>
            <w:r>
              <w:t>security parameters to include in the message between UE-2</w:t>
            </w:r>
            <w:r>
              <w:rPr>
                <w:lang w:eastAsia="zh-CN"/>
              </w:rPr>
              <w:t xml:space="preserve"> </w:t>
            </w:r>
            <w:r>
              <w:t>and MSGin5G UE-1</w:t>
            </w:r>
            <w:r>
              <w:rPr>
                <w:rFonts w:hint="eastAsia" w:eastAsia="宋体"/>
                <w:lang w:val="en-US" w:eastAsia="zh-CN"/>
              </w:rPr>
              <w:t xml:space="preserve"> is not specified in Rel-18. Therefore this EN can be revised to a NOTE to mention that the </w:t>
            </w:r>
            <w:r>
              <w:t>security parameters</w:t>
            </w:r>
            <w:r>
              <w:rPr>
                <w:rFonts w:hint="eastAsia" w:eastAsia="宋体"/>
                <w:lang w:val="en-US" w:eastAsia="zh-CN"/>
              </w:rPr>
              <w:t xml:space="preserve"> are implementation specific in Rel-18.</w:t>
            </w:r>
          </w:p>
          <w:p w14:paraId="1CB05F78">
            <w:pPr>
              <w:pStyle w:val="82"/>
              <w:spacing w:after="0"/>
              <w:ind w:left="100"/>
              <w:rPr>
                <w:rFonts w:hint="eastAsia" w:eastAsia="宋体"/>
                <w:highlight w:val="none"/>
                <w:lang w:val="en-US" w:eastAsia="zh-CN"/>
              </w:rPr>
            </w:pPr>
          </w:p>
          <w:p w14:paraId="53D8EE4D">
            <w:pPr>
              <w:pStyle w:val="75"/>
              <w:rPr>
                <w:lang w:eastAsia="zh-CN"/>
              </w:rPr>
            </w:pPr>
            <w:r>
              <w:t>Editor's note 2: The alignment between the request/response name in clause 8.11.2/8.11.3 and the updated architecture is FFS.</w:t>
            </w:r>
          </w:p>
          <w:p w14:paraId="42106AC7">
            <w:pPr>
              <w:pStyle w:val="82"/>
              <w:spacing w:after="0"/>
              <w:ind w:left="100"/>
              <w:rPr>
                <w:rFonts w:hint="default" w:eastAsia="宋体"/>
                <w:highlight w:val="none"/>
                <w:lang w:val="en-US" w:eastAsia="zh-CN"/>
              </w:rPr>
            </w:pPr>
            <w:r>
              <w:rPr>
                <w:rFonts w:hint="eastAsia" w:eastAsia="宋体"/>
                <w:highlight w:val="none"/>
                <w:lang w:val="en-US" w:eastAsia="zh-CN"/>
              </w:rPr>
              <w:t>In current document, The Application Client uses the MSGin5G Client to register and send/receive messages, but change the name of request/response may introduce backward compatibility issues. Therefore, this EN is proposed to be removed, and clarification can be added to explain the usage of these request/response.</w:t>
            </w:r>
          </w:p>
          <w:p w14:paraId="2C843E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EN in clause 8.11.2.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8.11.2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r>
              <w:rPr>
                <w:rFonts w:hint="eastAsia" w:eastAsia="宋体"/>
                <w:highlight w:val="none"/>
                <w:lang w:val="en-US" w:eastAsia="zh-CN"/>
              </w:rPr>
              <w:t>Rev1: numbered</w:t>
            </w:r>
            <w:r>
              <w:rPr>
                <w:rFonts w:ascii="Arial" w:hAnsi="Arial" w:cs="Arial"/>
                <w:bCs/>
                <w:sz w:val="18"/>
                <w:szCs w:val="18"/>
              </w:rPr>
              <w:t xml:space="preserve"> the notes from 1 to 5</w:t>
            </w:r>
          </w:p>
        </w:tc>
      </w:tr>
    </w:tbl>
    <w:p w14:paraId="7476D694">
      <w:pPr>
        <w:pStyle w:val="82"/>
        <w:spacing w:after="0"/>
        <w:rPr>
          <w:sz w:val="8"/>
          <w:szCs w:val="8"/>
          <w:highlight w:val="none"/>
        </w:rPr>
      </w:pPr>
    </w:p>
    <w:p w14:paraId="0587AFD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4D87098D">
      <w:pPr>
        <w:pStyle w:val="4"/>
        <w:rPr>
          <w:rFonts w:eastAsia="宋体"/>
        </w:rPr>
      </w:pPr>
      <w:bookmarkStart w:id="2" w:name="_Toc170035626"/>
      <w:r>
        <w:rPr>
          <w:rFonts w:eastAsia="宋体"/>
        </w:rPr>
        <w:t>8.11.2</w:t>
      </w:r>
      <w:r>
        <w:rPr>
          <w:rFonts w:eastAsia="宋体"/>
        </w:rPr>
        <w:tab/>
      </w:r>
      <w:r>
        <w:t>Application Client registration us</w:t>
      </w:r>
      <w:r>
        <w:rPr>
          <w:rFonts w:hint="eastAsia"/>
          <w:lang w:eastAsia="zh-CN"/>
        </w:rPr>
        <w:t>ing</w:t>
      </w:r>
      <w:r>
        <w:t xml:space="preserve"> MSGin5G Client</w:t>
      </w:r>
      <w:bookmarkEnd w:id="2"/>
    </w:p>
    <w:p w14:paraId="5086495A">
      <w:pPr>
        <w:rPr>
          <w:rFonts w:eastAsia="宋体"/>
        </w:rPr>
      </w:pPr>
      <w:r>
        <w:rPr>
          <w:lang w:eastAsia="ko-KR"/>
        </w:rPr>
        <w:t xml:space="preserve">The signalling flow for registration of </w:t>
      </w:r>
      <w:r>
        <w:t xml:space="preserve">Application Client on the UE-2 with MSGin5G Client </w:t>
      </w:r>
      <w:r>
        <w:rPr>
          <w:lang w:eastAsia="zh-CN"/>
        </w:rPr>
        <w:t xml:space="preserve">on MSGin5G UE-1 </w:t>
      </w:r>
      <w:r>
        <w:t xml:space="preserve">to use MSGin5G service is </w:t>
      </w:r>
      <w:r>
        <w:rPr>
          <w:lang w:eastAsia="ko-KR"/>
        </w:rPr>
        <w:t>illustrated in figure </w:t>
      </w:r>
      <w:r>
        <w:t>8.11.2</w:t>
      </w:r>
      <w:r>
        <w:rPr>
          <w:lang w:eastAsia="ko-KR"/>
        </w:rPr>
        <w:t xml:space="preserve">-1. </w:t>
      </w:r>
    </w:p>
    <w:p w14:paraId="4AB8E773">
      <w:r>
        <w:t>Pre-conditions:</w:t>
      </w:r>
    </w:p>
    <w:p w14:paraId="3293F3E1">
      <w:pPr>
        <w:pStyle w:val="76"/>
      </w:pPr>
      <w:r>
        <w:t>1.</w:t>
      </w:r>
      <w:r>
        <w:tab/>
      </w:r>
      <w:r>
        <w:t>The MSGin5G UE-1 is configured with information to recognize and authorize UE-2.</w:t>
      </w:r>
    </w:p>
    <w:p w14:paraId="219D5D85">
      <w:pPr>
        <w:pStyle w:val="76"/>
        <w:rPr>
          <w:lang w:eastAsia="zh-CN"/>
        </w:rPr>
      </w:pPr>
      <w:r>
        <w:rPr>
          <w:lang w:eastAsia="zh-CN"/>
        </w:rPr>
        <w:t>2.</w:t>
      </w:r>
      <w:r>
        <w:rPr>
          <w:lang w:eastAsia="zh-CN"/>
        </w:rPr>
        <w:tab/>
      </w:r>
      <w:r>
        <w:rPr>
          <w:lang w:eastAsia="zh-CN"/>
        </w:rPr>
        <w:t xml:space="preserve">The Application Client on </w:t>
      </w:r>
      <w:r>
        <w:t>UE-2</w:t>
      </w:r>
      <w:r>
        <w:rPr>
          <w:lang w:eastAsia="zh-CN"/>
        </w:rPr>
        <w:t xml:space="preserve"> has discovered or is configured that the MSGin5G Client resides on MSGin5G UE-1 and can provide the MSGin5G service capability to it.</w:t>
      </w:r>
    </w:p>
    <w:p w14:paraId="2D196C4B">
      <w:pPr>
        <w:pStyle w:val="76"/>
        <w:rPr>
          <w:lang w:eastAsia="zh-CN"/>
        </w:rPr>
      </w:pPr>
      <w:r>
        <w:rPr>
          <w:lang w:eastAsia="zh-CN"/>
        </w:rPr>
        <w:t>3.</w:t>
      </w:r>
      <w:r>
        <w:rPr>
          <w:lang w:eastAsia="zh-CN"/>
        </w:rPr>
        <w:tab/>
      </w:r>
      <w:r>
        <w:rPr>
          <w:lang w:eastAsia="zh-CN"/>
        </w:rPr>
        <w:t>The UE-2 is using NR-PC5 to communicate with MSGin5G UE-1.</w:t>
      </w:r>
    </w:p>
    <w:p w14:paraId="435C3CD5">
      <w:pPr>
        <w:pStyle w:val="56"/>
      </w:pPr>
      <w:r>
        <w:object>
          <v:shape id="_x0000_i1025" o:spt="75" type="#_x0000_t75" style="height:164.65pt;width:260.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44968B13">
      <w:pPr>
        <w:pStyle w:val="55"/>
      </w:pPr>
      <w:r>
        <w:t>Figure 8.11.2-1: Registration of Application Client on UE-2 with MSGin5G Client on MSGin5G UE-1</w:t>
      </w:r>
    </w:p>
    <w:p w14:paraId="5E622D9E">
      <w:pPr>
        <w:pStyle w:val="76"/>
        <w:rPr>
          <w:lang w:val="en-IN"/>
        </w:rPr>
      </w:pPr>
      <w:r>
        <w:rPr>
          <w:lang w:val="en-IN"/>
        </w:rPr>
        <w:t>1)</w:t>
      </w:r>
      <w:r>
        <w:rPr>
          <w:lang w:val="en-IN"/>
        </w:rPr>
        <w:tab/>
      </w:r>
      <w:r>
        <w:rPr>
          <w:lang w:val="en-IN"/>
        </w:rPr>
        <w:t xml:space="preserve">An Application Client on the </w:t>
      </w:r>
      <w:r>
        <w:t>UE-2</w:t>
      </w:r>
      <w:r>
        <w:rPr>
          <w:lang w:val="en-IN"/>
        </w:rPr>
        <w:t xml:space="preserve"> registers with MSGin5G Client-1 in MSGin5G UE-1 to use MSGin5G service. The request message includes information elements as specified in Table 8.11.2-1.</w:t>
      </w:r>
    </w:p>
    <w:p w14:paraId="777CFECE">
      <w:pPr>
        <w:pStyle w:val="56"/>
      </w:pPr>
      <w:r>
        <w:t>Table 8.11.2-1: I</w:t>
      </w:r>
      <w:r>
        <w:rPr>
          <w:lang w:eastAsia="zh-CN"/>
        </w:rPr>
        <w:t xml:space="preserve">nformation elements for </w:t>
      </w:r>
      <w:r>
        <w:t>Registration to gateway UE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683FDD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1482112">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729695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AB9D743">
            <w:pPr>
              <w:pStyle w:val="52"/>
            </w:pPr>
            <w:r>
              <w:t>Description</w:t>
            </w:r>
          </w:p>
        </w:tc>
      </w:tr>
      <w:tr w14:paraId="13340C1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0AD9BB7">
            <w:pPr>
              <w:pStyle w:val="54"/>
            </w:pPr>
            <w:r>
              <w:t xml:space="preserve">Layer-2 ID </w:t>
            </w:r>
          </w:p>
        </w:tc>
        <w:tc>
          <w:tcPr>
            <w:tcW w:w="1440" w:type="dxa"/>
            <w:tcBorders>
              <w:top w:val="single" w:color="000000" w:sz="4" w:space="0"/>
              <w:left w:val="single" w:color="000000" w:sz="4" w:space="0"/>
              <w:bottom w:val="single" w:color="000000" w:sz="4" w:space="0"/>
              <w:right w:val="nil"/>
            </w:tcBorders>
          </w:tcPr>
          <w:p w14:paraId="1F3B6BF6">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5A983DA">
            <w:pPr>
              <w:pStyle w:val="54"/>
            </w:pPr>
            <w:r>
              <w:t>Layer-2 identity of UE-2</w:t>
            </w:r>
          </w:p>
        </w:tc>
      </w:tr>
      <w:tr w14:paraId="63EA336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EC18276">
            <w:pPr>
              <w:pStyle w:val="54"/>
            </w:pPr>
            <w:r>
              <w:rPr>
                <w:lang w:val="en-US" w:eastAsia="zh-CN"/>
              </w:rPr>
              <w:t>Application ID</w:t>
            </w:r>
          </w:p>
        </w:tc>
        <w:tc>
          <w:tcPr>
            <w:tcW w:w="1440" w:type="dxa"/>
            <w:tcBorders>
              <w:top w:val="single" w:color="000000" w:sz="4" w:space="0"/>
              <w:left w:val="single" w:color="000000" w:sz="4" w:space="0"/>
              <w:bottom w:val="single" w:color="000000" w:sz="4" w:space="0"/>
              <w:right w:val="nil"/>
            </w:tcBorders>
          </w:tcPr>
          <w:p w14:paraId="70B6BF1B">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2DCE71A3">
            <w:pPr>
              <w:pStyle w:val="54"/>
            </w:pPr>
            <w:r>
              <w:t>Application ID of the application client on UE-2</w:t>
            </w:r>
          </w:p>
        </w:tc>
      </w:tr>
      <w:tr w14:paraId="0945C34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AC22725">
            <w:pPr>
              <w:pStyle w:val="54"/>
              <w:rPr>
                <w:lang w:val="en-US" w:eastAsia="zh-CN"/>
              </w:rPr>
            </w:pPr>
            <w:r>
              <w:rPr>
                <w:lang w:val="en-US" w:eastAsia="zh-CN"/>
              </w:rPr>
              <w:t>Credential information</w:t>
            </w:r>
          </w:p>
        </w:tc>
        <w:tc>
          <w:tcPr>
            <w:tcW w:w="1440" w:type="dxa"/>
            <w:tcBorders>
              <w:top w:val="single" w:color="000000" w:sz="4" w:space="0"/>
              <w:left w:val="single" w:color="000000" w:sz="4" w:space="0"/>
              <w:bottom w:val="single" w:color="000000" w:sz="4" w:space="0"/>
              <w:right w:val="nil"/>
            </w:tcBorders>
          </w:tcPr>
          <w:p w14:paraId="75648989">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2CFD3778">
            <w:pPr>
              <w:pStyle w:val="54"/>
            </w:pPr>
            <w:r>
              <w:t>UE-2 credential information</w:t>
            </w:r>
          </w:p>
        </w:tc>
      </w:tr>
    </w:tbl>
    <w:p w14:paraId="54601AC2"/>
    <w:p w14:paraId="05EF5A46">
      <w:pPr>
        <w:pStyle w:val="75"/>
        <w:rPr>
          <w:del w:id="0" w:author="liuyue0427" w:date="2025-05-05T11:03:14Z"/>
        </w:rPr>
      </w:pPr>
      <w:del w:id="1" w:author="liuyue0427" w:date="2025-05-05T11:03:14Z">
        <w:r>
          <w:rPr/>
          <w:delText>Editor's note 1: The security parameters to include in the message between UE-2</w:delText>
        </w:r>
      </w:del>
      <w:del w:id="2" w:author="liuyue0427" w:date="2025-05-05T11:03:14Z">
        <w:r>
          <w:rPr>
            <w:lang w:eastAsia="zh-CN"/>
          </w:rPr>
          <w:delText xml:space="preserve"> </w:delText>
        </w:r>
      </w:del>
      <w:del w:id="3" w:author="liuyue0427" w:date="2025-05-05T11:03:14Z">
        <w:r>
          <w:rPr/>
          <w:delText>and MSGin5G UE-1 are FFS.</w:delText>
        </w:r>
      </w:del>
    </w:p>
    <w:p w14:paraId="6F029CEA">
      <w:pPr>
        <w:pStyle w:val="57"/>
        <w:rPr>
          <w:ins w:id="4" w:author="liuyue0427" w:date="2025-05-05T11:03:14Z"/>
          <w:rFonts w:hint="default"/>
          <w:lang w:val="en-US" w:eastAsia="zh-CN"/>
        </w:rPr>
      </w:pPr>
      <w:ins w:id="5" w:author="liuyue0427" w:date="2025-05-05T11:03:18Z">
        <w:r>
          <w:rPr>
            <w:rFonts w:hint="eastAsia"/>
            <w:lang w:val="en-US" w:eastAsia="zh-CN"/>
          </w:rPr>
          <w:t>NO</w:t>
        </w:r>
      </w:ins>
      <w:ins w:id="6" w:author="liuyue0427" w:date="2025-05-05T11:03:19Z">
        <w:r>
          <w:rPr>
            <w:rFonts w:hint="eastAsia"/>
            <w:lang w:val="en-US" w:eastAsia="zh-CN"/>
          </w:rPr>
          <w:t>TE</w:t>
        </w:r>
      </w:ins>
      <w:ins w:id="7" w:author="liuyue0427" w:date="2025-05-05T11:59:52Z">
        <w:r>
          <w:rPr>
            <w:rFonts w:hint="eastAsia"/>
            <w:lang w:val="en-US" w:eastAsia="zh-CN"/>
          </w:rPr>
          <w:t> 1</w:t>
        </w:r>
      </w:ins>
      <w:ins w:id="8" w:author="liuyue0427" w:date="2025-05-05T11:03:19Z">
        <w:r>
          <w:rPr>
            <w:rFonts w:hint="eastAsia"/>
            <w:lang w:val="en-US" w:eastAsia="zh-CN"/>
          </w:rPr>
          <w:t>:</w:t>
        </w:r>
      </w:ins>
      <w:ins w:id="9" w:author="liuyue0427" w:date="2025-05-05T11:03:19Z">
        <w:r>
          <w:rPr>
            <w:rFonts w:hint="eastAsia"/>
            <w:lang w:val="en-US" w:eastAsia="zh-CN"/>
          </w:rPr>
          <w:tab/>
        </w:r>
      </w:ins>
      <w:ins w:id="10" w:author="liuyue0427" w:date="2025-05-05T11:03:16Z">
        <w:r>
          <w:rPr/>
          <w:t>The security parameters to include in the message between UE-2</w:t>
        </w:r>
      </w:ins>
      <w:ins w:id="11" w:author="liuyue0427" w:date="2025-05-05T11:03:16Z">
        <w:r>
          <w:rPr>
            <w:lang w:eastAsia="zh-CN"/>
          </w:rPr>
          <w:t xml:space="preserve"> </w:t>
        </w:r>
      </w:ins>
      <w:ins w:id="12" w:author="liuyue0427" w:date="2025-05-05T11:03:16Z">
        <w:r>
          <w:rPr/>
          <w:t>and MSGin5G UE-1</w:t>
        </w:r>
      </w:ins>
      <w:ins w:id="13" w:author="liuyue0427" w:date="2025-05-05T11:03:22Z">
        <w:r>
          <w:rPr>
            <w:rFonts w:hint="eastAsia"/>
            <w:lang w:val="en-US" w:eastAsia="zh-CN"/>
          </w:rPr>
          <w:t xml:space="preserve"> </w:t>
        </w:r>
      </w:ins>
      <w:ins w:id="14" w:author="liuyue0427" w:date="2025-05-05T11:03:23Z">
        <w:r>
          <w:rPr>
            <w:rFonts w:hint="eastAsia"/>
            <w:lang w:val="en-US" w:eastAsia="zh-CN"/>
          </w:rPr>
          <w:t xml:space="preserve">are </w:t>
        </w:r>
      </w:ins>
      <w:ins w:id="15" w:author="liuyue0427" w:date="2025-05-05T11:03:27Z">
        <w:r>
          <w:rPr>
            <w:rFonts w:hint="eastAsia"/>
            <w:lang w:val="en-US" w:eastAsia="zh-CN"/>
          </w:rPr>
          <w:t>implementation</w:t>
        </w:r>
      </w:ins>
      <w:ins w:id="16" w:author="liuyue0427" w:date="2025-05-05T11:03:28Z">
        <w:r>
          <w:rPr>
            <w:rFonts w:hint="eastAsia"/>
            <w:lang w:val="en-US" w:eastAsia="zh-CN"/>
          </w:rPr>
          <w:t xml:space="preserve"> </w:t>
        </w:r>
      </w:ins>
      <w:ins w:id="17" w:author="liuyue0427" w:date="2025-05-05T11:03:29Z">
        <w:r>
          <w:rPr>
            <w:rFonts w:hint="eastAsia"/>
            <w:lang w:val="en-US" w:eastAsia="zh-CN"/>
          </w:rPr>
          <w:t xml:space="preserve">specific </w:t>
        </w:r>
      </w:ins>
      <w:ins w:id="18" w:author="liuyue0427" w:date="2025-05-05T11:03:32Z">
        <w:r>
          <w:rPr>
            <w:rFonts w:hint="eastAsia"/>
            <w:lang w:val="en-US" w:eastAsia="zh-CN"/>
          </w:rPr>
          <w:t xml:space="preserve">in </w:t>
        </w:r>
      </w:ins>
      <w:ins w:id="19" w:author="liuyue0427" w:date="2025-05-05T11:03:33Z">
        <w:r>
          <w:rPr>
            <w:rFonts w:hint="eastAsia"/>
            <w:lang w:val="en-US" w:eastAsia="zh-CN"/>
          </w:rPr>
          <w:t xml:space="preserve">this </w:t>
        </w:r>
      </w:ins>
      <w:ins w:id="20" w:author="liuyue0427" w:date="2025-05-05T11:03:35Z">
        <w:r>
          <w:rPr>
            <w:rFonts w:hint="eastAsia"/>
            <w:lang w:val="en-US" w:eastAsia="zh-CN"/>
          </w:rPr>
          <w:t>release</w:t>
        </w:r>
      </w:ins>
      <w:ins w:id="21" w:author="liuyue0427" w:date="2025-05-05T11:03:36Z">
        <w:r>
          <w:rPr>
            <w:rFonts w:hint="eastAsia"/>
            <w:lang w:val="en-US" w:eastAsia="zh-CN"/>
          </w:rPr>
          <w:t>.</w:t>
        </w:r>
      </w:ins>
    </w:p>
    <w:p w14:paraId="7ABB49A4">
      <w:pPr>
        <w:pStyle w:val="75"/>
      </w:pPr>
      <w:ins w:id="22" w:author="liuyue0427" w:date="2025-05-05T11:59:59Z">
        <w:r>
          <w:rPr>
            <w:rFonts w:hint="eastAsia" w:eastAsia="宋体"/>
            <w:lang w:val="en-US" w:eastAsia="zh-CN"/>
          </w:rPr>
          <w:t>N</w:t>
        </w:r>
      </w:ins>
      <w:ins w:id="23" w:author="liuyue0427" w:date="2025-05-05T12:00:00Z">
        <w:r>
          <w:rPr>
            <w:rFonts w:hint="eastAsia" w:eastAsia="宋体"/>
            <w:lang w:val="en-US" w:eastAsia="zh-CN"/>
          </w:rPr>
          <w:t>OTE </w:t>
        </w:r>
      </w:ins>
      <w:ins w:id="24" w:author="liuyue0427" w:date="2025-05-05T12:00:01Z">
        <w:r>
          <w:rPr>
            <w:rFonts w:hint="eastAsia" w:eastAsia="宋体"/>
            <w:lang w:val="en-US" w:eastAsia="zh-CN"/>
          </w:rPr>
          <w:t>2</w:t>
        </w:r>
      </w:ins>
      <w:ins w:id="25" w:author="liuyue0427" w:date="2025-05-05T12:00:07Z">
        <w:r>
          <w:rPr>
            <w:rFonts w:hint="eastAsia" w:eastAsia="宋体"/>
            <w:lang w:val="en-US" w:eastAsia="zh-CN"/>
          </w:rPr>
          <w:t>:</w:t>
        </w:r>
      </w:ins>
      <w:ins w:id="26" w:author="liuyue0427" w:date="2025-05-05T12:00:07Z">
        <w:r>
          <w:rPr>
            <w:rFonts w:hint="eastAsia" w:eastAsia="宋体"/>
            <w:lang w:val="en-US" w:eastAsia="zh-CN"/>
          </w:rPr>
          <w:tab/>
        </w:r>
      </w:ins>
      <w:ins w:id="27" w:author="liuyue0427" w:date="2025-05-05T12:00:08Z">
        <w:r>
          <w:rPr>
            <w:rFonts w:hint="eastAsia" w:eastAsia="宋体"/>
            <w:lang w:val="en-US" w:eastAsia="zh-CN"/>
          </w:rPr>
          <w:t>T</w:t>
        </w:r>
      </w:ins>
      <w:ins w:id="28" w:author="liuyue0427" w:date="2025-05-05T12:00:09Z">
        <w:r>
          <w:rPr>
            <w:rFonts w:hint="eastAsia" w:eastAsia="宋体"/>
            <w:lang w:val="en-US" w:eastAsia="zh-CN"/>
          </w:rPr>
          <w:t xml:space="preserve">he </w:t>
        </w:r>
      </w:ins>
      <w:ins w:id="29" w:author="liuyue0427" w:date="2025-05-05T12:00:10Z">
        <w:r>
          <w:rPr/>
          <w:t>Registration to gateway UE request</w:t>
        </w:r>
      </w:ins>
      <w:ins w:id="30" w:author="liuyue0427" w:date="2025-05-05T12:00:12Z">
        <w:r>
          <w:rPr>
            <w:rFonts w:hint="eastAsia" w:eastAsia="宋体"/>
            <w:lang w:val="en-US" w:eastAsia="zh-CN"/>
          </w:rPr>
          <w:t xml:space="preserve"> </w:t>
        </w:r>
      </w:ins>
      <w:ins w:id="31" w:author="liuyue0427" w:date="2025-05-05T12:00:31Z">
        <w:r>
          <w:rPr>
            <w:rFonts w:hint="eastAsia" w:eastAsia="宋体"/>
            <w:lang w:val="en-US" w:eastAsia="zh-CN"/>
          </w:rPr>
          <w:t xml:space="preserve">and </w:t>
        </w:r>
      </w:ins>
      <w:ins w:id="32" w:author="liuyue0427" w:date="2025-05-05T12:00:32Z">
        <w:r>
          <w:rPr/>
          <w:t>Registration to gateway UE response</w:t>
        </w:r>
      </w:ins>
      <w:ins w:id="33" w:author="liuyue0427" w:date="2025-05-05T12:00:33Z">
        <w:r>
          <w:rPr>
            <w:rFonts w:hint="eastAsia" w:eastAsia="宋体"/>
            <w:lang w:val="en-US" w:eastAsia="zh-CN"/>
          </w:rPr>
          <w:t xml:space="preserve"> in </w:t>
        </w:r>
      </w:ins>
      <w:ins w:id="34" w:author="liuyue0427" w:date="2025-05-05T12:00:34Z">
        <w:r>
          <w:rPr>
            <w:rFonts w:hint="eastAsia" w:eastAsia="宋体"/>
            <w:lang w:val="en-US" w:eastAsia="zh-CN"/>
          </w:rPr>
          <w:t>Figur</w:t>
        </w:r>
      </w:ins>
      <w:ins w:id="35" w:author="liuyue0427" w:date="2025-05-05T12:00:35Z">
        <w:r>
          <w:rPr>
            <w:rFonts w:hint="eastAsia" w:eastAsia="宋体"/>
            <w:lang w:val="en-US" w:eastAsia="zh-CN"/>
          </w:rPr>
          <w:t>e</w:t>
        </w:r>
      </w:ins>
      <w:ins w:id="36" w:author="liuyue0427" w:date="2025-05-05T12:00:40Z">
        <w:r>
          <w:rPr>
            <w:rFonts w:hint="eastAsia" w:eastAsia="宋体"/>
            <w:lang w:val="en-US" w:eastAsia="zh-CN"/>
          </w:rPr>
          <w:t>8.11</w:t>
        </w:r>
      </w:ins>
      <w:ins w:id="37" w:author="liuyue0427" w:date="2025-05-05T12:00:41Z">
        <w:r>
          <w:rPr>
            <w:rFonts w:hint="eastAsia" w:eastAsia="宋体"/>
            <w:lang w:val="en-US" w:eastAsia="zh-CN"/>
          </w:rPr>
          <w:t>.2-</w:t>
        </w:r>
      </w:ins>
      <w:ins w:id="38" w:author="liuyue0427" w:date="2025-05-05T12:00:45Z">
        <w:r>
          <w:rPr>
            <w:rFonts w:hint="eastAsia" w:eastAsia="宋体"/>
            <w:lang w:val="en-US" w:eastAsia="zh-CN"/>
          </w:rPr>
          <w:t>1</w:t>
        </w:r>
      </w:ins>
      <w:ins w:id="39" w:author="liuyue0427" w:date="2025-05-05T12:00:46Z">
        <w:r>
          <w:rPr>
            <w:rFonts w:hint="eastAsia" w:eastAsia="宋体"/>
            <w:lang w:val="en-US" w:eastAsia="zh-CN"/>
          </w:rPr>
          <w:t>, Ta</w:t>
        </w:r>
      </w:ins>
      <w:ins w:id="40" w:author="liuyue0427" w:date="2025-05-05T12:00:47Z">
        <w:r>
          <w:rPr>
            <w:rFonts w:hint="eastAsia" w:eastAsia="宋体"/>
            <w:lang w:val="en-US" w:eastAsia="zh-CN"/>
          </w:rPr>
          <w:t>ble</w:t>
        </w:r>
      </w:ins>
      <w:ins w:id="41" w:author="liuyue0427" w:date="2025-05-05T12:01:05Z">
        <w:r>
          <w:rPr>
            <w:rFonts w:hint="eastAsia" w:eastAsia="宋体"/>
            <w:lang w:val="en-US" w:eastAsia="zh-CN"/>
          </w:rPr>
          <w:t> </w:t>
        </w:r>
      </w:ins>
      <w:ins w:id="42" w:author="liuyue0427" w:date="2025-05-05T12:01:00Z">
        <w:r>
          <w:rPr>
            <w:rFonts w:hint="eastAsia" w:eastAsia="宋体"/>
            <w:lang w:val="en-US" w:eastAsia="zh-CN"/>
          </w:rPr>
          <w:t>8.1</w:t>
        </w:r>
      </w:ins>
      <w:ins w:id="43" w:author="liuyue0427" w:date="2025-05-05T12:01:01Z">
        <w:r>
          <w:rPr>
            <w:rFonts w:hint="eastAsia" w:eastAsia="宋体"/>
            <w:lang w:val="en-US" w:eastAsia="zh-CN"/>
          </w:rPr>
          <w:t>1.</w:t>
        </w:r>
      </w:ins>
      <w:ins w:id="44" w:author="liuyue0427" w:date="2025-05-05T12:01:02Z">
        <w:r>
          <w:rPr>
            <w:rFonts w:hint="eastAsia" w:eastAsia="宋体"/>
            <w:lang w:val="en-US" w:eastAsia="zh-CN"/>
          </w:rPr>
          <w:t>2-</w:t>
        </w:r>
      </w:ins>
      <w:ins w:id="45" w:author="liuyue0427" w:date="2025-05-05T12:01:03Z">
        <w:r>
          <w:rPr>
            <w:rFonts w:hint="eastAsia" w:eastAsia="宋体"/>
            <w:lang w:val="en-US" w:eastAsia="zh-CN"/>
          </w:rPr>
          <w:t>1</w:t>
        </w:r>
      </w:ins>
      <w:ins w:id="46" w:author="liuyue0427" w:date="2025-05-05T12:01:08Z">
        <w:r>
          <w:rPr>
            <w:rFonts w:hint="eastAsia" w:eastAsia="宋体"/>
            <w:lang w:val="en-US" w:eastAsia="zh-CN"/>
          </w:rPr>
          <w:t xml:space="preserve"> and</w:t>
        </w:r>
      </w:ins>
      <w:ins w:id="47" w:author="liuyue0427" w:date="2025-05-05T12:01:09Z">
        <w:r>
          <w:rPr>
            <w:rFonts w:hint="eastAsia" w:eastAsia="宋体"/>
            <w:lang w:val="en-US" w:eastAsia="zh-CN"/>
          </w:rPr>
          <w:t xml:space="preserve"> </w:t>
        </w:r>
      </w:ins>
      <w:ins w:id="48" w:author="liuyue0427" w:date="2025-05-05T12:01:12Z">
        <w:r>
          <w:rPr>
            <w:rFonts w:hint="eastAsia" w:eastAsia="宋体"/>
            <w:lang w:val="en-US" w:eastAsia="zh-CN"/>
          </w:rPr>
          <w:t>Table 8.11.2-</w:t>
        </w:r>
      </w:ins>
      <w:ins w:id="49" w:author="liuyue0427" w:date="2025-05-05T12:01:13Z">
        <w:r>
          <w:rPr>
            <w:rFonts w:hint="eastAsia" w:eastAsia="宋体"/>
            <w:lang w:val="en-US" w:eastAsia="zh-CN"/>
          </w:rPr>
          <w:t>2</w:t>
        </w:r>
      </w:ins>
      <w:ins w:id="50" w:author="liuyue0427" w:date="2025-05-05T12:01:21Z">
        <w:r>
          <w:rPr>
            <w:rFonts w:hint="eastAsia" w:eastAsia="宋体"/>
            <w:lang w:val="en-US" w:eastAsia="zh-CN"/>
          </w:rPr>
          <w:t xml:space="preserve"> </w:t>
        </w:r>
      </w:ins>
      <w:ins w:id="51" w:author="liuyue0427" w:date="2025-05-05T12:01:23Z">
        <w:r>
          <w:rPr>
            <w:rFonts w:hint="eastAsia" w:eastAsia="宋体"/>
            <w:lang w:val="en-US" w:eastAsia="zh-CN"/>
          </w:rPr>
          <w:t xml:space="preserve">are </w:t>
        </w:r>
      </w:ins>
      <w:ins w:id="52" w:author="liuyue0427" w:date="2025-05-05T12:01:24Z">
        <w:r>
          <w:rPr>
            <w:rFonts w:hint="eastAsia" w:eastAsia="宋体"/>
            <w:lang w:val="en-US" w:eastAsia="zh-CN"/>
          </w:rPr>
          <w:t xml:space="preserve">used </w:t>
        </w:r>
      </w:ins>
      <w:ins w:id="53" w:author="liuyue0427" w:date="2025-05-05T12:01:25Z">
        <w:r>
          <w:rPr>
            <w:rFonts w:hint="eastAsia" w:eastAsia="宋体"/>
            <w:lang w:val="en-US" w:eastAsia="zh-CN"/>
          </w:rPr>
          <w:t>betw</w:t>
        </w:r>
      </w:ins>
      <w:ins w:id="54" w:author="liuyue0427" w:date="2025-05-05T12:01:26Z">
        <w:r>
          <w:rPr>
            <w:rFonts w:hint="eastAsia" w:eastAsia="宋体"/>
            <w:lang w:val="en-US" w:eastAsia="zh-CN"/>
          </w:rPr>
          <w:t xml:space="preserve">een </w:t>
        </w:r>
      </w:ins>
      <w:ins w:id="55" w:author="liuyue0427" w:date="2025-05-05T12:01:28Z">
        <w:r>
          <w:rPr>
            <w:rFonts w:hint="eastAsia" w:eastAsia="宋体"/>
            <w:lang w:val="en-US" w:eastAsia="zh-CN"/>
          </w:rPr>
          <w:t xml:space="preserve">Application </w:t>
        </w:r>
      </w:ins>
      <w:ins w:id="56" w:author="liuyue0427" w:date="2025-05-05T12:01:31Z">
        <w:r>
          <w:rPr>
            <w:rFonts w:hint="eastAsia" w:eastAsia="宋体"/>
            <w:lang w:val="en-US" w:eastAsia="zh-CN"/>
          </w:rPr>
          <w:t>Client and</w:t>
        </w:r>
      </w:ins>
      <w:ins w:id="57" w:author="liuyue0427" w:date="2025-05-05T12:01:32Z">
        <w:r>
          <w:rPr>
            <w:rFonts w:hint="eastAsia" w:eastAsia="宋体"/>
            <w:lang w:val="en-US" w:eastAsia="zh-CN"/>
          </w:rPr>
          <w:t xml:space="preserve"> </w:t>
        </w:r>
      </w:ins>
      <w:ins w:id="58" w:author="liuyue0427" w:date="2025-05-05T12:01:34Z">
        <w:r>
          <w:rPr>
            <w:rFonts w:hint="eastAsia" w:eastAsia="宋体"/>
            <w:lang w:val="en-US" w:eastAsia="zh-CN"/>
          </w:rPr>
          <w:t xml:space="preserve">MSGin5G </w:t>
        </w:r>
      </w:ins>
      <w:ins w:id="59" w:author="liuyue0427" w:date="2025-05-05T12:01:35Z">
        <w:r>
          <w:rPr>
            <w:rFonts w:hint="eastAsia" w:eastAsia="宋体"/>
            <w:lang w:val="en-US" w:eastAsia="zh-CN"/>
          </w:rPr>
          <w:t>Client</w:t>
        </w:r>
      </w:ins>
      <w:ins w:id="60" w:author="liuyue0427" w:date="2025-05-05T12:01:54Z">
        <w:r>
          <w:rPr>
            <w:rFonts w:hint="eastAsia" w:eastAsia="宋体"/>
            <w:lang w:val="en-US" w:eastAsia="zh-CN"/>
          </w:rPr>
          <w:t xml:space="preserve">. </w:t>
        </w:r>
      </w:ins>
      <w:ins w:id="61" w:author="liuyue0427" w:date="2025-05-05T12:01:56Z">
        <w:r>
          <w:rPr>
            <w:rFonts w:hint="eastAsia" w:eastAsia="宋体"/>
            <w:lang w:val="en-US" w:eastAsia="zh-CN"/>
          </w:rPr>
          <w:t>They</w:t>
        </w:r>
      </w:ins>
      <w:ins w:id="62" w:author="liuyue0427" w:date="2025-05-05T12:01:57Z">
        <w:r>
          <w:rPr>
            <w:rFonts w:hint="eastAsia" w:eastAsia="宋体"/>
            <w:lang w:val="en-US" w:eastAsia="zh-CN"/>
          </w:rPr>
          <w:t xml:space="preserve"> are n</w:t>
        </w:r>
      </w:ins>
      <w:ins w:id="63" w:author="liuyue0427" w:date="2025-05-05T12:01:58Z">
        <w:r>
          <w:rPr>
            <w:rFonts w:hint="eastAsia" w:eastAsia="宋体"/>
            <w:lang w:val="en-US" w:eastAsia="zh-CN"/>
          </w:rPr>
          <w:t>ot us</w:t>
        </w:r>
      </w:ins>
      <w:ins w:id="64" w:author="liuyue0427" w:date="2025-05-05T12:01:59Z">
        <w:r>
          <w:rPr>
            <w:rFonts w:hint="eastAsia" w:eastAsia="宋体"/>
            <w:lang w:val="en-US" w:eastAsia="zh-CN"/>
          </w:rPr>
          <w:t xml:space="preserve">ed in </w:t>
        </w:r>
      </w:ins>
      <w:ins w:id="65" w:author="liuyue0427" w:date="2025-05-05T12:02:00Z">
        <w:r>
          <w:rPr>
            <w:rFonts w:hint="eastAsia" w:eastAsia="宋体"/>
            <w:lang w:val="en-US" w:eastAsia="zh-CN"/>
          </w:rPr>
          <w:t xml:space="preserve">the </w:t>
        </w:r>
      </w:ins>
      <w:ins w:id="66" w:author="liuyue0427" w:date="2025-05-05T12:02:02Z">
        <w:r>
          <w:rPr>
            <w:rFonts w:hint="eastAsia" w:eastAsia="宋体"/>
            <w:lang w:val="en-US" w:eastAsia="zh-CN"/>
          </w:rPr>
          <w:t xml:space="preserve">interaction </w:t>
        </w:r>
      </w:ins>
      <w:ins w:id="67" w:author="liuyue0427" w:date="2025-05-05T12:02:03Z">
        <w:r>
          <w:rPr>
            <w:rFonts w:hint="eastAsia" w:eastAsia="宋体"/>
            <w:lang w:val="en-US" w:eastAsia="zh-CN"/>
          </w:rPr>
          <w:t>between</w:t>
        </w:r>
      </w:ins>
      <w:ins w:id="68" w:author="liuyue0427" w:date="2025-05-05T12:02:04Z">
        <w:r>
          <w:rPr>
            <w:rFonts w:hint="eastAsia" w:eastAsia="宋体"/>
            <w:lang w:val="en-US" w:eastAsia="zh-CN"/>
          </w:rPr>
          <w:t xml:space="preserve"> </w:t>
        </w:r>
      </w:ins>
      <w:ins w:id="69" w:author="liuyue0427" w:date="2025-05-05T12:02:06Z">
        <w:r>
          <w:rPr>
            <w:rFonts w:hint="eastAsia" w:eastAsia="宋体"/>
            <w:lang w:val="en-US" w:eastAsia="zh-CN"/>
          </w:rPr>
          <w:t xml:space="preserve">MSGin5G </w:t>
        </w:r>
      </w:ins>
      <w:ins w:id="70" w:author="liuyue0427" w:date="2025-05-05T12:02:07Z">
        <w:r>
          <w:rPr>
            <w:rFonts w:hint="eastAsia" w:eastAsia="宋体"/>
            <w:lang w:val="en-US" w:eastAsia="zh-CN"/>
          </w:rPr>
          <w:t xml:space="preserve">Client </w:t>
        </w:r>
      </w:ins>
      <w:ins w:id="71" w:author="liuyue0427" w:date="2025-05-05T12:02:08Z">
        <w:r>
          <w:rPr>
            <w:rFonts w:hint="eastAsia" w:eastAsia="宋体"/>
            <w:lang w:val="en-US" w:eastAsia="zh-CN"/>
          </w:rPr>
          <w:t xml:space="preserve">and </w:t>
        </w:r>
      </w:ins>
      <w:ins w:id="72" w:author="liuyue0427" w:date="2025-05-05T12:02:34Z">
        <w:r>
          <w:rPr>
            <w:lang w:eastAsia="zh-CN"/>
          </w:rPr>
          <w:t xml:space="preserve">MSGin5G Gateway </w:t>
        </w:r>
      </w:ins>
      <w:ins w:id="73" w:author="liuyue0427" w:date="2025-05-05T12:02:34Z">
        <w:r>
          <w:rPr>
            <w:rFonts w:hint="eastAsia"/>
            <w:lang w:eastAsia="zh-CN"/>
          </w:rPr>
          <w:t>Client</w:t>
        </w:r>
      </w:ins>
      <w:ins w:id="74" w:author="liuyue0427" w:date="2025-05-05T12:02:35Z">
        <w:r>
          <w:rPr>
            <w:rFonts w:hint="eastAsia"/>
            <w:lang w:val="en-US" w:eastAsia="zh-CN"/>
          </w:rPr>
          <w:t>.</w:t>
        </w:r>
      </w:ins>
      <w:del w:id="75" w:author="liuyue0427" w:date="2025-05-05T11:59:59Z">
        <w:r>
          <w:rPr/>
          <w:delText>Editor's note 2: The alignment between the request/response name in clause 8.11.2/8.11.3 and the updated architecture is FFS.</w:delText>
        </w:r>
      </w:del>
    </w:p>
    <w:p w14:paraId="4A66E215">
      <w:pPr>
        <w:pStyle w:val="76"/>
      </w:pPr>
      <w:r>
        <w:t>2)</w:t>
      </w:r>
      <w:r>
        <w:tab/>
      </w:r>
      <w:r>
        <w:t xml:space="preserve">Upon receiving the request from the Application Client, the MSGin5G Client authorizes the Application Client on UE-2 to it for MSGin5G service. The MSGin5G Client assigns a Registration ID and stores the mapping of the Registration ID, Application ID and Layer-2 ID of the UE-2. </w:t>
      </w:r>
    </w:p>
    <w:p w14:paraId="67FC1160">
      <w:pPr>
        <w:pStyle w:val="57"/>
      </w:pPr>
      <w:r>
        <w:t>NOTE</w:t>
      </w:r>
      <w:del w:id="76" w:author="liuyue0520" w:date="2025-05-21T12:53:52Z">
        <w:r>
          <w:rPr/>
          <w:delText xml:space="preserve"> 1</w:delText>
        </w:r>
      </w:del>
      <w:ins w:id="77" w:author="liuyue0520" w:date="2025-05-21T12:53:52Z">
        <w:r>
          <w:rPr/>
          <w:t> </w:t>
        </w:r>
      </w:ins>
      <w:ins w:id="78" w:author="liuyue0520" w:date="2025-05-21T12:53:56Z">
        <w:r>
          <w:rPr>
            <w:rFonts w:hint="eastAsia" w:eastAsia="宋体"/>
            <w:lang w:val="en-US" w:eastAsia="zh-CN"/>
          </w:rPr>
          <w:t>3</w:t>
        </w:r>
      </w:ins>
      <w:r>
        <w:t>:</w:t>
      </w:r>
      <w:r>
        <w:tab/>
      </w:r>
      <w:r>
        <w:t xml:space="preserve">The MSGin5G Client may reject the request for registration to use it for MSGin5G service based on local condition (like available power or connectivity to access network or any other reason outside the scope of 3GPP). </w:t>
      </w:r>
    </w:p>
    <w:p w14:paraId="4C33703B">
      <w:pPr>
        <w:pStyle w:val="76"/>
        <w:rPr>
          <w:lang w:val="en-IN"/>
        </w:rPr>
      </w:pPr>
      <w:r>
        <w:t>3)</w:t>
      </w:r>
      <w:r>
        <w:tab/>
      </w:r>
      <w:r>
        <w:t xml:space="preserve">The MSGin5G Client sends a response to the Application Client. </w:t>
      </w:r>
      <w:r>
        <w:rPr>
          <w:lang w:val="en-IN"/>
        </w:rPr>
        <w:t>The response message includes information elements as specified in Table 8.11.2-2.</w:t>
      </w:r>
    </w:p>
    <w:p w14:paraId="6C6577E6">
      <w:pPr>
        <w:pStyle w:val="56"/>
      </w:pPr>
      <w:r>
        <w:t>Table 8.11.2-2: I</w:t>
      </w:r>
      <w:r>
        <w:rPr>
          <w:lang w:eastAsia="zh-CN"/>
        </w:rPr>
        <w:t xml:space="preserve">nformation elements for </w:t>
      </w:r>
      <w:r>
        <w:t>Registration to gateway UE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6B9F4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BB5A50C">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28985D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00DF6F35">
            <w:pPr>
              <w:pStyle w:val="52"/>
            </w:pPr>
            <w:r>
              <w:t>Description</w:t>
            </w:r>
          </w:p>
        </w:tc>
      </w:tr>
      <w:tr w14:paraId="4C09E66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6DD588D">
            <w:pPr>
              <w:pStyle w:val="54"/>
            </w:pPr>
            <w:r>
              <w:t xml:space="preserve">Result </w:t>
            </w:r>
          </w:p>
        </w:tc>
        <w:tc>
          <w:tcPr>
            <w:tcW w:w="1440" w:type="dxa"/>
            <w:tcBorders>
              <w:top w:val="single" w:color="000000" w:sz="4" w:space="0"/>
              <w:left w:val="single" w:color="000000" w:sz="4" w:space="0"/>
              <w:bottom w:val="single" w:color="000000" w:sz="4" w:space="0"/>
              <w:right w:val="nil"/>
            </w:tcBorders>
          </w:tcPr>
          <w:p w14:paraId="249B223B">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6E7CFD2F">
            <w:pPr>
              <w:pStyle w:val="54"/>
            </w:pPr>
            <w:r>
              <w:t>Indicates success or failure of the request</w:t>
            </w:r>
          </w:p>
        </w:tc>
      </w:tr>
      <w:tr w14:paraId="467A4A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2D9518B">
            <w:pPr>
              <w:pStyle w:val="54"/>
            </w:pPr>
            <w:r>
              <w:t>Registration ID</w:t>
            </w:r>
          </w:p>
        </w:tc>
        <w:tc>
          <w:tcPr>
            <w:tcW w:w="1440" w:type="dxa"/>
            <w:tcBorders>
              <w:top w:val="single" w:color="000000" w:sz="4" w:space="0"/>
              <w:left w:val="single" w:color="000000" w:sz="4" w:space="0"/>
              <w:bottom w:val="single" w:color="000000" w:sz="4" w:space="0"/>
              <w:right w:val="nil"/>
            </w:tcBorders>
          </w:tcPr>
          <w:p w14:paraId="5619FD96">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E225742">
            <w:pPr>
              <w:pStyle w:val="54"/>
            </w:pPr>
            <w:r>
              <w:t>Identifies registration. This IE is included only if Result IE is set to success.</w:t>
            </w:r>
          </w:p>
        </w:tc>
      </w:tr>
      <w:tr w14:paraId="271596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C9493C8">
            <w:pPr>
              <w:pStyle w:val="54"/>
            </w:pPr>
            <w:r>
              <w:t>Failure reason</w:t>
            </w:r>
          </w:p>
        </w:tc>
        <w:tc>
          <w:tcPr>
            <w:tcW w:w="1440" w:type="dxa"/>
            <w:tcBorders>
              <w:top w:val="single" w:color="000000" w:sz="4" w:space="0"/>
              <w:left w:val="single" w:color="000000" w:sz="4" w:space="0"/>
              <w:bottom w:val="single" w:color="000000" w:sz="4" w:space="0"/>
              <w:right w:val="nil"/>
            </w:tcBorders>
          </w:tcPr>
          <w:p w14:paraId="4AF63C6B">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378A9C3">
            <w:pPr>
              <w:pStyle w:val="54"/>
            </w:pPr>
            <w:r>
              <w:t>Indicates failure reason. This IE is included only if Result IE is set to failure.</w:t>
            </w:r>
          </w:p>
        </w:tc>
      </w:tr>
    </w:tbl>
    <w:p w14:paraId="0234CAFE">
      <w:pPr>
        <w:pStyle w:val="76"/>
      </w:pPr>
    </w:p>
    <w:p w14:paraId="3E5C27C6">
      <w:pPr>
        <w:pStyle w:val="57"/>
      </w:pPr>
      <w:r>
        <w:t>NOTE</w:t>
      </w:r>
      <w:del w:id="79" w:author="liuyue0520" w:date="2025-05-21T12:54:04Z">
        <w:r>
          <w:rPr/>
          <w:delText xml:space="preserve"> 2</w:delText>
        </w:r>
      </w:del>
      <w:ins w:id="80" w:author="liuyue0520" w:date="2025-05-21T12:54:04Z">
        <w:r>
          <w:rPr/>
          <w:t> </w:t>
        </w:r>
      </w:ins>
      <w:ins w:id="81" w:author="liuyue0520" w:date="2025-05-21T12:54:06Z">
        <w:r>
          <w:rPr>
            <w:rFonts w:hint="eastAsia" w:eastAsia="宋体"/>
            <w:lang w:val="en-US" w:eastAsia="zh-CN"/>
          </w:rPr>
          <w:t>4</w:t>
        </w:r>
      </w:ins>
      <w:r>
        <w:t>:</w:t>
      </w:r>
      <w:r>
        <w:tab/>
      </w:r>
      <w:r>
        <w:t>If the MSGin5G Client decided to reject the request for registration or if authorization fails in step 2, the MSGin5G Client sends a failure response to the Application Client. Otherwise, the MSGin5G Client sends a success response to the Application Client.</w:t>
      </w:r>
    </w:p>
    <w:p w14:paraId="706EA4EE">
      <w:pPr>
        <w:pStyle w:val="57"/>
      </w:pPr>
      <w:r>
        <w:t>NOTE</w:t>
      </w:r>
      <w:del w:id="82" w:author="liuyue0520" w:date="2025-05-21T12:54:09Z">
        <w:r>
          <w:rPr/>
          <w:delText xml:space="preserve"> 3</w:delText>
        </w:r>
      </w:del>
      <w:ins w:id="83" w:author="liuyue0520" w:date="2025-05-21T12:54:09Z">
        <w:r>
          <w:rPr/>
          <w:t> </w:t>
        </w:r>
      </w:ins>
      <w:ins w:id="84" w:author="liuyue0520" w:date="2025-05-21T12:54:11Z">
        <w:r>
          <w:rPr>
            <w:rFonts w:hint="eastAsia" w:eastAsia="宋体"/>
            <w:lang w:val="en-US" w:eastAsia="zh-CN"/>
          </w:rPr>
          <w:t>5</w:t>
        </w:r>
      </w:ins>
      <w:r>
        <w:t>:</w:t>
      </w:r>
      <w:r>
        <w:tab/>
      </w:r>
      <w:r>
        <w:t>The MSGin5G Client may provide MSGin5G service capabilities for multiple Application Clients, at the same time.</w:t>
      </w:r>
    </w:p>
    <w:p w14:paraId="493EAB9A">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3A47878B">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rson w15:author="liuyue0520">
    <w15:presenceInfo w15:providerId="None" w15:userId="liuyue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81BE2"/>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16F3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77C46"/>
    <w:rsid w:val="015875BC"/>
    <w:rsid w:val="01630F53"/>
    <w:rsid w:val="016564AB"/>
    <w:rsid w:val="01A151DA"/>
    <w:rsid w:val="01DB2179"/>
    <w:rsid w:val="02102371"/>
    <w:rsid w:val="021D0352"/>
    <w:rsid w:val="021D12B5"/>
    <w:rsid w:val="02226FED"/>
    <w:rsid w:val="02277D98"/>
    <w:rsid w:val="022E1921"/>
    <w:rsid w:val="02402EC0"/>
    <w:rsid w:val="024937CF"/>
    <w:rsid w:val="02552FBB"/>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867954"/>
    <w:rsid w:val="03AF6F00"/>
    <w:rsid w:val="03B0401B"/>
    <w:rsid w:val="03B96EA9"/>
    <w:rsid w:val="03C816C2"/>
    <w:rsid w:val="03D76459"/>
    <w:rsid w:val="03E84175"/>
    <w:rsid w:val="03F01345"/>
    <w:rsid w:val="03F82211"/>
    <w:rsid w:val="03FE6319"/>
    <w:rsid w:val="04126DF7"/>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3C2DE0"/>
    <w:rsid w:val="05596955"/>
    <w:rsid w:val="05622E1E"/>
    <w:rsid w:val="05641788"/>
    <w:rsid w:val="05700779"/>
    <w:rsid w:val="057B6B0A"/>
    <w:rsid w:val="058D5B2B"/>
    <w:rsid w:val="059609B9"/>
    <w:rsid w:val="0598168D"/>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304ED7"/>
    <w:rsid w:val="074F100F"/>
    <w:rsid w:val="074F578B"/>
    <w:rsid w:val="079B0290"/>
    <w:rsid w:val="07B62E30"/>
    <w:rsid w:val="07C31E77"/>
    <w:rsid w:val="07D93C20"/>
    <w:rsid w:val="080E2562"/>
    <w:rsid w:val="081C745E"/>
    <w:rsid w:val="08315D7E"/>
    <w:rsid w:val="087F1701"/>
    <w:rsid w:val="08A43FD0"/>
    <w:rsid w:val="08A65D3D"/>
    <w:rsid w:val="08BB3248"/>
    <w:rsid w:val="08E46EA7"/>
    <w:rsid w:val="08E54928"/>
    <w:rsid w:val="08F25018"/>
    <w:rsid w:val="08FB1B65"/>
    <w:rsid w:val="090D4716"/>
    <w:rsid w:val="09146371"/>
    <w:rsid w:val="09621560"/>
    <w:rsid w:val="0979739A"/>
    <w:rsid w:val="09815499"/>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402B6"/>
    <w:rsid w:val="0ACC0F45"/>
    <w:rsid w:val="0B180098"/>
    <w:rsid w:val="0B5118BA"/>
    <w:rsid w:val="0B521800"/>
    <w:rsid w:val="0B5459A6"/>
    <w:rsid w:val="0B557BA5"/>
    <w:rsid w:val="0B63273E"/>
    <w:rsid w:val="0B6658C1"/>
    <w:rsid w:val="0B746A5B"/>
    <w:rsid w:val="0B7C7A64"/>
    <w:rsid w:val="0BE074C4"/>
    <w:rsid w:val="0BFD7F1F"/>
    <w:rsid w:val="0C41432A"/>
    <w:rsid w:val="0C4729B0"/>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80947"/>
    <w:rsid w:val="0E2B18CC"/>
    <w:rsid w:val="0E370E36"/>
    <w:rsid w:val="0E3A084F"/>
    <w:rsid w:val="0E3E731D"/>
    <w:rsid w:val="0E4848CC"/>
    <w:rsid w:val="0E752FC5"/>
    <w:rsid w:val="0E7F4BD9"/>
    <w:rsid w:val="0E98447E"/>
    <w:rsid w:val="0E9E6388"/>
    <w:rsid w:val="0EC24420"/>
    <w:rsid w:val="0EC84B3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069F"/>
    <w:rsid w:val="12147FB8"/>
    <w:rsid w:val="122733D6"/>
    <w:rsid w:val="12286C59"/>
    <w:rsid w:val="12313CE5"/>
    <w:rsid w:val="126B5E77"/>
    <w:rsid w:val="126C5BE0"/>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36503"/>
    <w:rsid w:val="144B7858"/>
    <w:rsid w:val="146B2AA5"/>
    <w:rsid w:val="147C5E29"/>
    <w:rsid w:val="148000B2"/>
    <w:rsid w:val="14C72A25"/>
    <w:rsid w:val="14EC73E1"/>
    <w:rsid w:val="14F944F9"/>
    <w:rsid w:val="14FB79FC"/>
    <w:rsid w:val="150A6828"/>
    <w:rsid w:val="15460D75"/>
    <w:rsid w:val="15473067"/>
    <w:rsid w:val="157079BA"/>
    <w:rsid w:val="158C1F5E"/>
    <w:rsid w:val="158C3568"/>
    <w:rsid w:val="158C5C66"/>
    <w:rsid w:val="15A6720A"/>
    <w:rsid w:val="15BA7D60"/>
    <w:rsid w:val="15D72862"/>
    <w:rsid w:val="15E675F9"/>
    <w:rsid w:val="160E532F"/>
    <w:rsid w:val="16135A37"/>
    <w:rsid w:val="16241758"/>
    <w:rsid w:val="163868AA"/>
    <w:rsid w:val="16391262"/>
    <w:rsid w:val="163A054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74977"/>
    <w:rsid w:val="194813EA"/>
    <w:rsid w:val="1956151F"/>
    <w:rsid w:val="19AA0FA9"/>
    <w:rsid w:val="19B821DC"/>
    <w:rsid w:val="19BA37C2"/>
    <w:rsid w:val="19C3737C"/>
    <w:rsid w:val="19CD0264"/>
    <w:rsid w:val="19D011E9"/>
    <w:rsid w:val="19E35BF1"/>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154B5"/>
    <w:rsid w:val="1C884F58"/>
    <w:rsid w:val="1C900D6C"/>
    <w:rsid w:val="1CBC50B4"/>
    <w:rsid w:val="1CC96948"/>
    <w:rsid w:val="1CD13F56"/>
    <w:rsid w:val="1CE529F5"/>
    <w:rsid w:val="1D1A544D"/>
    <w:rsid w:val="1D596E19"/>
    <w:rsid w:val="1D6E245E"/>
    <w:rsid w:val="1D6E2E7D"/>
    <w:rsid w:val="1D84107C"/>
    <w:rsid w:val="1D92313D"/>
    <w:rsid w:val="1DA069AB"/>
    <w:rsid w:val="1DA62AB3"/>
    <w:rsid w:val="1DDE5540"/>
    <w:rsid w:val="1DDE7065"/>
    <w:rsid w:val="1E1E7279"/>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7B3E42"/>
    <w:rsid w:val="23975CF1"/>
    <w:rsid w:val="23B1211E"/>
    <w:rsid w:val="23B607A4"/>
    <w:rsid w:val="23C81A17"/>
    <w:rsid w:val="23D07150"/>
    <w:rsid w:val="23EF284F"/>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185305"/>
    <w:rsid w:val="26284BE7"/>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364BC0"/>
    <w:rsid w:val="285A6B8A"/>
    <w:rsid w:val="286036CB"/>
    <w:rsid w:val="28A450B9"/>
    <w:rsid w:val="28C80E08"/>
    <w:rsid w:val="28CD7407"/>
    <w:rsid w:val="28D14C84"/>
    <w:rsid w:val="28DE781D"/>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94F2D"/>
    <w:rsid w:val="2B9C671C"/>
    <w:rsid w:val="2BC74CE2"/>
    <w:rsid w:val="2BEA409C"/>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0E2C40"/>
    <w:rsid w:val="2E200FD6"/>
    <w:rsid w:val="2E234B41"/>
    <w:rsid w:val="2E250044"/>
    <w:rsid w:val="2E50690A"/>
    <w:rsid w:val="2E522239"/>
    <w:rsid w:val="2E62097A"/>
    <w:rsid w:val="2E8E1CA7"/>
    <w:rsid w:val="2EC85CE4"/>
    <w:rsid w:val="2EE1742F"/>
    <w:rsid w:val="2EFA3740"/>
    <w:rsid w:val="2EFF79A7"/>
    <w:rsid w:val="2F3E2D0F"/>
    <w:rsid w:val="2F552934"/>
    <w:rsid w:val="2F6D7FDB"/>
    <w:rsid w:val="2F756D19"/>
    <w:rsid w:val="2FC01FE3"/>
    <w:rsid w:val="2FD56706"/>
    <w:rsid w:val="2FDB060F"/>
    <w:rsid w:val="2FDB474A"/>
    <w:rsid w:val="2FE75B13"/>
    <w:rsid w:val="2FFA4747"/>
    <w:rsid w:val="302746ED"/>
    <w:rsid w:val="305C56E5"/>
    <w:rsid w:val="30642AF1"/>
    <w:rsid w:val="307634AB"/>
    <w:rsid w:val="307E369B"/>
    <w:rsid w:val="3086432B"/>
    <w:rsid w:val="30936B67"/>
    <w:rsid w:val="309B51CA"/>
    <w:rsid w:val="30A225D6"/>
    <w:rsid w:val="30CF5A24"/>
    <w:rsid w:val="30E31097"/>
    <w:rsid w:val="30EB624E"/>
    <w:rsid w:val="312915B6"/>
    <w:rsid w:val="313431CA"/>
    <w:rsid w:val="314743E9"/>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554223"/>
    <w:rsid w:val="34627A9C"/>
    <w:rsid w:val="34756B1F"/>
    <w:rsid w:val="349A50E8"/>
    <w:rsid w:val="34D21A98"/>
    <w:rsid w:val="34F4706D"/>
    <w:rsid w:val="34F65DF3"/>
    <w:rsid w:val="351F3735"/>
    <w:rsid w:val="352F6E7D"/>
    <w:rsid w:val="35704438"/>
    <w:rsid w:val="35A1628C"/>
    <w:rsid w:val="35A71C13"/>
    <w:rsid w:val="35AF55A2"/>
    <w:rsid w:val="35BE4538"/>
    <w:rsid w:val="35C57746"/>
    <w:rsid w:val="35E34207"/>
    <w:rsid w:val="35E76168"/>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E027FCA"/>
    <w:rsid w:val="3E3808DA"/>
    <w:rsid w:val="3E6A2A38"/>
    <w:rsid w:val="3E7013C9"/>
    <w:rsid w:val="3E98013E"/>
    <w:rsid w:val="3E9C706B"/>
    <w:rsid w:val="3EA62CD7"/>
    <w:rsid w:val="3ECF65C7"/>
    <w:rsid w:val="3ED00991"/>
    <w:rsid w:val="3EEC1B24"/>
    <w:rsid w:val="3F281FAB"/>
    <w:rsid w:val="3F72243E"/>
    <w:rsid w:val="3F733E69"/>
    <w:rsid w:val="3F7F29BA"/>
    <w:rsid w:val="3F8E51D3"/>
    <w:rsid w:val="3FA702FB"/>
    <w:rsid w:val="3FBD249F"/>
    <w:rsid w:val="3FCA3D33"/>
    <w:rsid w:val="3FE40160"/>
    <w:rsid w:val="3FE72C2A"/>
    <w:rsid w:val="3FF24EF7"/>
    <w:rsid w:val="3FFB5424"/>
    <w:rsid w:val="40031A76"/>
    <w:rsid w:val="40345961"/>
    <w:rsid w:val="40562A1D"/>
    <w:rsid w:val="40574C1C"/>
    <w:rsid w:val="407B4493"/>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5375C0"/>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7B7457"/>
    <w:rsid w:val="47876268"/>
    <w:rsid w:val="478E0E7F"/>
    <w:rsid w:val="47AF19AB"/>
    <w:rsid w:val="47C3064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BC6F7A"/>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CE0FE5"/>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8A50A1"/>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F413DD"/>
    <w:rsid w:val="50FB45EB"/>
    <w:rsid w:val="512457AF"/>
    <w:rsid w:val="51272EB1"/>
    <w:rsid w:val="51276734"/>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39752B"/>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8DB0AD7"/>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8E77E6"/>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2F0690"/>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10E37"/>
    <w:rsid w:val="6043627C"/>
    <w:rsid w:val="606467B1"/>
    <w:rsid w:val="607D18D9"/>
    <w:rsid w:val="609F6996"/>
    <w:rsid w:val="60AC13BC"/>
    <w:rsid w:val="60AC2428"/>
    <w:rsid w:val="60B37BB5"/>
    <w:rsid w:val="60B46D5E"/>
    <w:rsid w:val="60B62CA5"/>
    <w:rsid w:val="60C06ECB"/>
    <w:rsid w:val="60F12834"/>
    <w:rsid w:val="610C1548"/>
    <w:rsid w:val="611A2A5C"/>
    <w:rsid w:val="61225778"/>
    <w:rsid w:val="612D61FA"/>
    <w:rsid w:val="613A550F"/>
    <w:rsid w:val="615F10FE"/>
    <w:rsid w:val="61E60EAB"/>
    <w:rsid w:val="620E0D6B"/>
    <w:rsid w:val="62292C19"/>
    <w:rsid w:val="62582054"/>
    <w:rsid w:val="6263561A"/>
    <w:rsid w:val="629A41D2"/>
    <w:rsid w:val="62BF179C"/>
    <w:rsid w:val="62D1212E"/>
    <w:rsid w:val="63133E9C"/>
    <w:rsid w:val="631F442B"/>
    <w:rsid w:val="63233BF3"/>
    <w:rsid w:val="635E74E4"/>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6B7EC5"/>
    <w:rsid w:val="6C71278F"/>
    <w:rsid w:val="6C892B57"/>
    <w:rsid w:val="6CB716E9"/>
    <w:rsid w:val="6CBF2379"/>
    <w:rsid w:val="6CEC4142"/>
    <w:rsid w:val="6D164F86"/>
    <w:rsid w:val="6D3D497D"/>
    <w:rsid w:val="6D5910F7"/>
    <w:rsid w:val="6D5B6130"/>
    <w:rsid w:val="6D5B6B4D"/>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8C01D5"/>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337E7"/>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CC2F1A"/>
    <w:rsid w:val="75D77FE2"/>
    <w:rsid w:val="75DD1EEC"/>
    <w:rsid w:val="76047BAD"/>
    <w:rsid w:val="76094035"/>
    <w:rsid w:val="761B77D2"/>
    <w:rsid w:val="76203C5A"/>
    <w:rsid w:val="76637BC6"/>
    <w:rsid w:val="76665AF9"/>
    <w:rsid w:val="7668404E"/>
    <w:rsid w:val="766C04D6"/>
    <w:rsid w:val="76821E25"/>
    <w:rsid w:val="76897E06"/>
    <w:rsid w:val="76E03C37"/>
    <w:rsid w:val="76E27660"/>
    <w:rsid w:val="76E3721B"/>
    <w:rsid w:val="76FB0145"/>
    <w:rsid w:val="770F1364"/>
    <w:rsid w:val="7714326D"/>
    <w:rsid w:val="774E68CA"/>
    <w:rsid w:val="777B6495"/>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2390B"/>
    <w:rsid w:val="791E32C2"/>
    <w:rsid w:val="7922554C"/>
    <w:rsid w:val="793876EF"/>
    <w:rsid w:val="79711AA2"/>
    <w:rsid w:val="798B16F8"/>
    <w:rsid w:val="799A1262"/>
    <w:rsid w:val="79B00633"/>
    <w:rsid w:val="79B90F42"/>
    <w:rsid w:val="79BD7948"/>
    <w:rsid w:val="79EF399B"/>
    <w:rsid w:val="79F0361A"/>
    <w:rsid w:val="7A0657BE"/>
    <w:rsid w:val="7A1328D6"/>
    <w:rsid w:val="7A2B7F7C"/>
    <w:rsid w:val="7A7200C1"/>
    <w:rsid w:val="7A7237F8"/>
    <w:rsid w:val="7A837A9D"/>
    <w:rsid w:val="7AC65CAC"/>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54582"/>
    <w:rsid w:val="7D7B4060"/>
    <w:rsid w:val="7DA83736"/>
    <w:rsid w:val="7DB47549"/>
    <w:rsid w:val="7DB83C12"/>
    <w:rsid w:val="7DC93C6B"/>
    <w:rsid w:val="7DDE038D"/>
    <w:rsid w:val="7DE87585"/>
    <w:rsid w:val="7E194254"/>
    <w:rsid w:val="7E227B7D"/>
    <w:rsid w:val="7E2A2A0B"/>
    <w:rsid w:val="7E502C4A"/>
    <w:rsid w:val="7E575A16"/>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liuyue0520</cp:lastModifiedBy>
  <cp:lastPrinted>2411-12-31T23:00:00Z</cp:lastPrinted>
  <dcterms:modified xsi:type="dcterms:W3CDTF">2025-05-21T04:55:41Z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6A13FD5071B643C5B68062738336965C_13</vt:lpwstr>
  </property>
</Properties>
</file>